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37BDD" w14:textId="38735F4B" w:rsidR="00A057DF" w:rsidRPr="0088598E" w:rsidRDefault="007D5794" w:rsidP="0088598E">
      <w:pPr>
        <w:jc w:val="right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Client</w:t>
      </w:r>
      <w:r w:rsidRPr="0088598E">
        <w:rPr>
          <w:rFonts w:ascii="Arial" w:hAnsi="Arial" w:cs="Arial"/>
          <w:sz w:val="72"/>
          <w:szCs w:val="72"/>
        </w:rPr>
        <w:t xml:space="preserve"> </w:t>
      </w:r>
      <w:r w:rsidR="00D930DB" w:rsidRPr="0088598E">
        <w:rPr>
          <w:rFonts w:ascii="Arial" w:hAnsi="Arial" w:cs="Arial"/>
          <w:sz w:val="72"/>
          <w:szCs w:val="72"/>
        </w:rPr>
        <w:t>engagement principles</w:t>
      </w:r>
    </w:p>
    <w:p w14:paraId="69831920" w14:textId="43FB7AE9" w:rsidR="0088598E" w:rsidRDefault="0088598E" w:rsidP="00787A63">
      <w:pPr>
        <w:rPr>
          <w:rFonts w:ascii="Arial" w:hAnsi="Arial" w:cs="Arial"/>
        </w:rPr>
      </w:pPr>
    </w:p>
    <w:p w14:paraId="21A721CD" w14:textId="23C87131" w:rsidR="006B4627" w:rsidRDefault="006B4627" w:rsidP="00787A63">
      <w:pPr>
        <w:rPr>
          <w:rFonts w:ascii="Arial" w:hAnsi="Arial" w:cs="Arial"/>
        </w:rPr>
      </w:pPr>
    </w:p>
    <w:p w14:paraId="5BAB35B9" w14:textId="77777777" w:rsidR="006B4627" w:rsidRPr="0088598E" w:rsidRDefault="006B4627" w:rsidP="00787A63">
      <w:pPr>
        <w:rPr>
          <w:rFonts w:ascii="Arial" w:hAnsi="Arial" w:cs="Arial"/>
        </w:rPr>
      </w:pPr>
    </w:p>
    <w:p w14:paraId="5A269958" w14:textId="15D5BCA2" w:rsidR="0088598E" w:rsidRPr="0088598E" w:rsidRDefault="0088598E" w:rsidP="00787A63">
      <w:pPr>
        <w:rPr>
          <w:rFonts w:ascii="Arial" w:hAnsi="Arial" w:cs="Arial"/>
        </w:rPr>
      </w:pPr>
    </w:p>
    <w:p w14:paraId="43B24966" w14:textId="29B6B0E3" w:rsidR="0088598E" w:rsidRPr="0088598E" w:rsidRDefault="0088598E" w:rsidP="00787A63">
      <w:pPr>
        <w:rPr>
          <w:rFonts w:ascii="Arial" w:hAnsi="Arial" w:cs="Arial"/>
        </w:rPr>
      </w:pPr>
    </w:p>
    <w:p w14:paraId="60ACBE58" w14:textId="5E0F138D" w:rsidR="0088598E" w:rsidRPr="0088598E" w:rsidRDefault="0088598E" w:rsidP="00787A63">
      <w:pPr>
        <w:rPr>
          <w:rFonts w:ascii="Arial" w:hAnsi="Arial" w:cs="Arial"/>
        </w:rPr>
      </w:pPr>
    </w:p>
    <w:p w14:paraId="036E0369" w14:textId="2E8577F0" w:rsidR="0088598E" w:rsidRPr="0088598E" w:rsidRDefault="0088598E" w:rsidP="00787A63">
      <w:pPr>
        <w:rPr>
          <w:rFonts w:ascii="Arial" w:hAnsi="Arial" w:cs="Arial"/>
        </w:rPr>
      </w:pPr>
    </w:p>
    <w:p w14:paraId="5156ECC8" w14:textId="0EC69026" w:rsidR="0088598E" w:rsidRPr="0088598E" w:rsidRDefault="0088598E" w:rsidP="00787A63">
      <w:pPr>
        <w:rPr>
          <w:rFonts w:ascii="Arial" w:hAnsi="Arial" w:cs="Arial"/>
        </w:rPr>
      </w:pPr>
    </w:p>
    <w:p w14:paraId="7294ACF6" w14:textId="4CBC4B2F" w:rsidR="0088598E" w:rsidRPr="0088598E" w:rsidRDefault="0088598E" w:rsidP="00787A63">
      <w:pPr>
        <w:rPr>
          <w:rFonts w:ascii="Arial" w:hAnsi="Arial" w:cs="Arial"/>
        </w:rPr>
      </w:pPr>
    </w:p>
    <w:p w14:paraId="6E9D209D" w14:textId="1CF91F5F" w:rsidR="0088598E" w:rsidRPr="0088598E" w:rsidRDefault="0088598E" w:rsidP="00787A63">
      <w:pPr>
        <w:rPr>
          <w:rFonts w:ascii="Arial" w:hAnsi="Arial" w:cs="Arial"/>
        </w:rPr>
      </w:pPr>
    </w:p>
    <w:p w14:paraId="1C354E90" w14:textId="7F1202DC" w:rsidR="0088598E" w:rsidRDefault="0088598E" w:rsidP="00787A63">
      <w:pPr>
        <w:rPr>
          <w:rFonts w:ascii="Arial" w:hAnsi="Arial" w:cs="Arial"/>
        </w:rPr>
      </w:pPr>
    </w:p>
    <w:p w14:paraId="7104A323" w14:textId="5238DAA4" w:rsidR="0088598E" w:rsidRDefault="0088598E" w:rsidP="00787A63">
      <w:pPr>
        <w:rPr>
          <w:rFonts w:ascii="Arial" w:hAnsi="Arial" w:cs="Arial"/>
        </w:rPr>
      </w:pPr>
    </w:p>
    <w:p w14:paraId="6A2896A6" w14:textId="32284CAD" w:rsidR="006B4627" w:rsidRDefault="006B4627" w:rsidP="00787A63">
      <w:pPr>
        <w:rPr>
          <w:rFonts w:ascii="Arial" w:hAnsi="Arial" w:cs="Arial"/>
        </w:rPr>
      </w:pPr>
    </w:p>
    <w:p w14:paraId="4F1251AD" w14:textId="77777777" w:rsidR="006B4627" w:rsidRPr="0088598E" w:rsidRDefault="006B4627" w:rsidP="00787A63">
      <w:pPr>
        <w:rPr>
          <w:rFonts w:ascii="Arial" w:hAnsi="Arial" w:cs="Arial"/>
        </w:rPr>
      </w:pPr>
    </w:p>
    <w:p w14:paraId="2DB7CBCB" w14:textId="77777777" w:rsidR="0088598E" w:rsidRPr="00C0488A" w:rsidRDefault="0088598E" w:rsidP="0088598E">
      <w:pPr>
        <w:rPr>
          <w:rFonts w:ascii="Arial" w:hAnsi="Arial" w:cs="Arial"/>
          <w:sz w:val="12"/>
          <w:szCs w:val="12"/>
        </w:rPr>
      </w:pPr>
    </w:p>
    <w:p w14:paraId="2845E809" w14:textId="5EE91119" w:rsidR="00D930DB" w:rsidRPr="00574DAC" w:rsidRDefault="009235D6" w:rsidP="009235D6">
      <w:pPr>
        <w:rPr>
          <w:rFonts w:ascii="Arial" w:hAnsi="Arial" w:cs="Arial"/>
        </w:rPr>
      </w:pPr>
      <w:r w:rsidRPr="6D882DA1">
        <w:rPr>
          <w:rFonts w:ascii="Arial" w:hAnsi="Arial" w:cs="Arial"/>
        </w:rPr>
        <w:t xml:space="preserve">These principles define the way we will work with people and businesses. This includes where we act as a </w:t>
      </w:r>
      <w:r>
        <w:rPr>
          <w:rFonts w:ascii="Arial" w:hAnsi="Arial" w:cs="Arial"/>
        </w:rPr>
        <w:t>r</w:t>
      </w:r>
      <w:r w:rsidRPr="6D882DA1">
        <w:rPr>
          <w:rFonts w:ascii="Arial" w:hAnsi="Arial" w:cs="Arial"/>
        </w:rPr>
        <w:t xml:space="preserve">egulator to ensure compliance with legislation. </w:t>
      </w:r>
    </w:p>
    <w:p w14:paraId="65CF0BE9" w14:textId="77777777" w:rsidR="00C17647" w:rsidRPr="0088598E" w:rsidRDefault="00C17647" w:rsidP="0088598E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sing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6" w:space="0" w:color="5B9BD5" w:themeColor="accent5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11"/>
        <w:gridCol w:w="4535"/>
        <w:gridCol w:w="3685"/>
      </w:tblGrid>
      <w:tr w:rsidR="003A7E36" w:rsidRPr="00574DAC" w14:paraId="6A06A761" w14:textId="77777777" w:rsidTr="003A7E36">
        <w:trPr>
          <w:trHeight w:val="567"/>
          <w:tblHeader/>
        </w:trPr>
        <w:tc>
          <w:tcPr>
            <w:tcW w:w="2211" w:type="dxa"/>
            <w:tcBorders>
              <w:bottom w:val="single" w:sz="4" w:space="0" w:color="FFFFFF" w:themeColor="background1"/>
            </w:tcBorders>
            <w:shd w:val="clear" w:color="auto" w:fill="0078A2"/>
            <w:vAlign w:val="center"/>
          </w:tcPr>
          <w:p w14:paraId="5308CD39" w14:textId="77777777" w:rsidR="00C17647" w:rsidRPr="00574DAC" w:rsidRDefault="0050298D" w:rsidP="00574DAC">
            <w:pPr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74DA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Principle</w:t>
            </w:r>
          </w:p>
        </w:tc>
        <w:tc>
          <w:tcPr>
            <w:tcW w:w="4535" w:type="dxa"/>
            <w:shd w:val="clear" w:color="auto" w:fill="0078A2"/>
            <w:vAlign w:val="center"/>
          </w:tcPr>
          <w:p w14:paraId="13B5ECE9" w14:textId="3CDAA323" w:rsidR="00C17647" w:rsidRPr="00574DAC" w:rsidRDefault="009235D6" w:rsidP="00574DAC">
            <w:pPr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W</w:t>
            </w:r>
            <w:r w:rsidR="00CA149A" w:rsidRPr="00574DA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 will</w:t>
            </w:r>
          </w:p>
        </w:tc>
        <w:tc>
          <w:tcPr>
            <w:tcW w:w="3685" w:type="dxa"/>
            <w:shd w:val="clear" w:color="auto" w:fill="0078A2"/>
            <w:vAlign w:val="center"/>
          </w:tcPr>
          <w:p w14:paraId="454E5B05" w14:textId="704E405B" w:rsidR="00C17647" w:rsidRPr="00574DAC" w:rsidRDefault="009235D6" w:rsidP="00574DAC">
            <w:pPr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W</w:t>
            </w:r>
            <w:r w:rsidR="00A73118" w:rsidRPr="00574DA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 won’t</w:t>
            </w:r>
          </w:p>
        </w:tc>
      </w:tr>
      <w:tr w:rsidR="009235D6" w:rsidRPr="00574DAC" w14:paraId="17C79D70" w14:textId="77777777" w:rsidTr="009235D6">
        <w:trPr>
          <w:trHeight w:val="1511"/>
        </w:trPr>
        <w:tc>
          <w:tcPr>
            <w:tcW w:w="2211" w:type="dxa"/>
            <w:tcBorders>
              <w:top w:val="single" w:sz="4" w:space="0" w:color="FFFFFF" w:themeColor="background1"/>
              <w:bottom w:val="single" w:sz="6" w:space="0" w:color="FFFFFF" w:themeColor="background1"/>
            </w:tcBorders>
            <w:shd w:val="clear" w:color="auto" w:fill="0097CC"/>
            <w:vAlign w:val="center"/>
          </w:tcPr>
          <w:p w14:paraId="22D9D1E7" w14:textId="51886505" w:rsidR="009235D6" w:rsidRPr="00921336" w:rsidRDefault="00605D9A" w:rsidP="009235D6">
            <w:pPr>
              <w:spacing w:after="60"/>
              <w:contextualSpacing/>
              <w:jc w:val="center"/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We</w:t>
            </w:r>
            <w:r w:rsidR="009235D6" w:rsidRPr="00921336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br/>
              <w:t>listen first</w:t>
            </w:r>
          </w:p>
        </w:tc>
        <w:tc>
          <w:tcPr>
            <w:tcW w:w="4535" w:type="dxa"/>
            <w:shd w:val="clear" w:color="auto" w:fill="C2EFFA"/>
          </w:tcPr>
          <w:p w14:paraId="2284B1BB" w14:textId="77777777" w:rsidR="007D6733" w:rsidRPr="00574DAC" w:rsidRDefault="007D6733" w:rsidP="007D6733">
            <w:pPr>
              <w:numPr>
                <w:ilvl w:val="0"/>
                <w:numId w:val="14"/>
              </w:numPr>
              <w:spacing w:before="60" w:after="60" w:line="276" w:lineRule="auto"/>
              <w:ind w:left="227" w:hanging="22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4DAC">
              <w:rPr>
                <w:rFonts w:ascii="Arial" w:hAnsi="Arial" w:cs="Arial"/>
                <w:sz w:val="20"/>
                <w:szCs w:val="20"/>
              </w:rPr>
              <w:t xml:space="preserve">Show empathy and understand an issue from the </w:t>
            </w:r>
            <w:r>
              <w:rPr>
                <w:rFonts w:ascii="Arial" w:hAnsi="Arial" w:cs="Arial"/>
                <w:sz w:val="20"/>
                <w:szCs w:val="20"/>
              </w:rPr>
              <w:t>customer</w:t>
            </w:r>
            <w:r w:rsidRPr="00574DAC">
              <w:rPr>
                <w:rFonts w:ascii="Arial" w:hAnsi="Arial" w:cs="Arial"/>
                <w:sz w:val="20"/>
                <w:szCs w:val="20"/>
              </w:rPr>
              <w:t>’s perspective.</w:t>
            </w:r>
          </w:p>
          <w:p w14:paraId="7350C089" w14:textId="77777777" w:rsidR="007D6733" w:rsidRDefault="007D6733" w:rsidP="009235D6">
            <w:pPr>
              <w:numPr>
                <w:ilvl w:val="0"/>
                <w:numId w:val="14"/>
              </w:numPr>
              <w:spacing w:before="60" w:after="60" w:line="276" w:lineRule="auto"/>
              <w:ind w:left="227" w:hanging="22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4DAC">
              <w:rPr>
                <w:rFonts w:ascii="Arial" w:hAnsi="Arial" w:cs="Arial"/>
                <w:sz w:val="20"/>
                <w:szCs w:val="20"/>
              </w:rPr>
              <w:t>Be open minded.</w:t>
            </w:r>
          </w:p>
          <w:p w14:paraId="0589AC02" w14:textId="200823C3" w:rsidR="009235D6" w:rsidRPr="00574DAC" w:rsidRDefault="009235D6" w:rsidP="009235D6">
            <w:pPr>
              <w:numPr>
                <w:ilvl w:val="0"/>
                <w:numId w:val="14"/>
              </w:numPr>
              <w:spacing w:before="60" w:after="60" w:line="276" w:lineRule="auto"/>
              <w:ind w:left="227" w:hanging="22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4DAC">
              <w:rPr>
                <w:rFonts w:ascii="Arial" w:hAnsi="Arial" w:cs="Arial"/>
                <w:sz w:val="20"/>
                <w:szCs w:val="20"/>
              </w:rPr>
              <w:t xml:space="preserve">Examine the history and background of an issue before </w:t>
            </w:r>
            <w:proofErr w:type="gramStart"/>
            <w:r w:rsidRPr="00574DAC">
              <w:rPr>
                <w:rFonts w:ascii="Arial" w:hAnsi="Arial" w:cs="Arial"/>
                <w:sz w:val="20"/>
                <w:szCs w:val="20"/>
              </w:rPr>
              <w:t>making a decision</w:t>
            </w:r>
            <w:proofErr w:type="gramEnd"/>
            <w:r w:rsidRPr="00574DA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95652C7" w14:textId="5BE37D4E" w:rsidR="009235D6" w:rsidRPr="00574DAC" w:rsidRDefault="009235D6" w:rsidP="00B50C4C">
            <w:pPr>
              <w:spacing w:before="60" w:after="60" w:line="276" w:lineRule="auto"/>
              <w:ind w:left="22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DCF6FC"/>
          </w:tcPr>
          <w:p w14:paraId="028F76EE" w14:textId="77777777" w:rsidR="009235D6" w:rsidRPr="00574DAC" w:rsidRDefault="009235D6" w:rsidP="009235D6">
            <w:pPr>
              <w:numPr>
                <w:ilvl w:val="0"/>
                <w:numId w:val="15"/>
              </w:numPr>
              <w:spacing w:before="60" w:after="60" w:line="276" w:lineRule="auto"/>
              <w:ind w:left="227" w:hanging="22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4DAC">
              <w:rPr>
                <w:rFonts w:ascii="Arial" w:hAnsi="Arial" w:cs="Arial"/>
                <w:sz w:val="20"/>
                <w:szCs w:val="20"/>
              </w:rPr>
              <w:t>Answer the wrong question.</w:t>
            </w:r>
          </w:p>
          <w:p w14:paraId="54D24620" w14:textId="77777777" w:rsidR="009235D6" w:rsidRPr="00574DAC" w:rsidRDefault="009235D6" w:rsidP="009235D6">
            <w:pPr>
              <w:numPr>
                <w:ilvl w:val="0"/>
                <w:numId w:val="15"/>
              </w:numPr>
              <w:spacing w:before="60" w:after="60" w:line="276" w:lineRule="auto"/>
              <w:ind w:left="227" w:hanging="22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4DAC">
              <w:rPr>
                <w:rFonts w:ascii="Arial" w:hAnsi="Arial" w:cs="Arial"/>
                <w:sz w:val="20"/>
                <w:szCs w:val="20"/>
              </w:rPr>
              <w:t>Have preconceptions.</w:t>
            </w:r>
          </w:p>
          <w:p w14:paraId="7AEF4507" w14:textId="77777777" w:rsidR="009235D6" w:rsidRDefault="009235D6" w:rsidP="009235D6">
            <w:pPr>
              <w:numPr>
                <w:ilvl w:val="0"/>
                <w:numId w:val="15"/>
              </w:numPr>
              <w:spacing w:before="60" w:after="60" w:line="276" w:lineRule="auto"/>
              <w:ind w:left="227" w:hanging="22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4DAC">
              <w:rPr>
                <w:rFonts w:ascii="Arial" w:hAnsi="Arial" w:cs="Arial"/>
                <w:sz w:val="20"/>
                <w:szCs w:val="20"/>
              </w:rPr>
              <w:t>Shut down the conversation.</w:t>
            </w:r>
          </w:p>
          <w:p w14:paraId="1FB25730" w14:textId="2D488A10" w:rsidR="009235D6" w:rsidRPr="00574DAC" w:rsidRDefault="009235D6" w:rsidP="009235D6">
            <w:pPr>
              <w:numPr>
                <w:ilvl w:val="0"/>
                <w:numId w:val="15"/>
              </w:numPr>
              <w:spacing w:before="60" w:after="60" w:line="276" w:lineRule="auto"/>
              <w:ind w:left="227" w:hanging="227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Breach any regulatory obligations.</w:t>
            </w:r>
          </w:p>
        </w:tc>
      </w:tr>
      <w:tr w:rsidR="009235D6" w:rsidRPr="00574DAC" w14:paraId="2B21DAA0" w14:textId="77777777" w:rsidTr="0019519F">
        <w:trPr>
          <w:trHeight w:val="1983"/>
        </w:trPr>
        <w:tc>
          <w:tcPr>
            <w:tcW w:w="2211" w:type="dxa"/>
            <w:tcBorders>
              <w:top w:val="single" w:sz="4" w:space="0" w:color="FFFFFF" w:themeColor="background1"/>
              <w:bottom w:val="single" w:sz="6" w:space="0" w:color="FFFFFF" w:themeColor="background1"/>
            </w:tcBorders>
            <w:shd w:val="clear" w:color="auto" w:fill="0097CC"/>
            <w:vAlign w:val="center"/>
          </w:tcPr>
          <w:p w14:paraId="1C5028E7" w14:textId="414AF679" w:rsidR="009235D6" w:rsidRPr="00921336" w:rsidRDefault="00605D9A" w:rsidP="009235D6">
            <w:pPr>
              <w:spacing w:after="60"/>
              <w:contextualSpacing/>
              <w:jc w:val="center"/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</w:pPr>
            <w:bookmarkStart w:id="0" w:name="_Hlk117674340"/>
            <w:r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We are</w:t>
            </w:r>
            <w:r w:rsidR="009235D6" w:rsidRPr="00921336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="009235D6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dependable</w:t>
            </w:r>
            <w:r w:rsidR="009235D6" w:rsidRPr="00921336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 xml:space="preserve"> and collaborative</w:t>
            </w:r>
          </w:p>
        </w:tc>
        <w:tc>
          <w:tcPr>
            <w:tcW w:w="4535" w:type="dxa"/>
            <w:shd w:val="clear" w:color="auto" w:fill="C2EFFA"/>
          </w:tcPr>
          <w:p w14:paraId="72F78BED" w14:textId="0E0BE30D" w:rsidR="007D6733" w:rsidRPr="00574DAC" w:rsidRDefault="007D6733" w:rsidP="007D6733">
            <w:pPr>
              <w:numPr>
                <w:ilvl w:val="0"/>
                <w:numId w:val="14"/>
              </w:numPr>
              <w:spacing w:before="60" w:after="60" w:line="276" w:lineRule="auto"/>
              <w:ind w:left="227" w:hanging="22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4DAC">
              <w:rPr>
                <w:rFonts w:ascii="Arial" w:hAnsi="Arial" w:cs="Arial"/>
                <w:sz w:val="20"/>
                <w:szCs w:val="20"/>
              </w:rPr>
              <w:t xml:space="preserve">Work in partnership with our </w:t>
            </w:r>
            <w:r>
              <w:rPr>
                <w:rFonts w:ascii="Arial" w:hAnsi="Arial" w:cs="Arial"/>
                <w:sz w:val="20"/>
                <w:szCs w:val="20"/>
              </w:rPr>
              <w:t>customers.</w:t>
            </w:r>
            <w:r w:rsidRPr="00574D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946D951" w14:textId="77777777" w:rsidR="007D6733" w:rsidRDefault="007D6733" w:rsidP="009235D6">
            <w:pPr>
              <w:numPr>
                <w:ilvl w:val="0"/>
                <w:numId w:val="14"/>
              </w:numPr>
              <w:spacing w:before="60" w:after="60" w:line="276" w:lineRule="auto"/>
              <w:ind w:left="227" w:hanging="22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4DAC">
              <w:rPr>
                <w:rFonts w:ascii="Arial" w:hAnsi="Arial" w:cs="Arial"/>
                <w:sz w:val="20"/>
                <w:szCs w:val="20"/>
              </w:rPr>
              <w:t>Be clear about our purpose when we engage.</w:t>
            </w:r>
          </w:p>
          <w:p w14:paraId="4A3DF8A3" w14:textId="74D6389D" w:rsidR="009235D6" w:rsidRPr="00574DAC" w:rsidRDefault="009235D6" w:rsidP="009235D6">
            <w:pPr>
              <w:numPr>
                <w:ilvl w:val="0"/>
                <w:numId w:val="14"/>
              </w:numPr>
              <w:spacing w:before="60" w:after="60" w:line="276" w:lineRule="auto"/>
              <w:ind w:left="227" w:hanging="22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4DAC">
              <w:rPr>
                <w:rFonts w:ascii="Arial" w:hAnsi="Arial" w:cs="Arial"/>
                <w:sz w:val="20"/>
                <w:szCs w:val="20"/>
              </w:rPr>
              <w:t xml:space="preserve">Be clear upfront about the level of input our </w:t>
            </w:r>
            <w:r>
              <w:rPr>
                <w:rFonts w:ascii="Arial" w:hAnsi="Arial" w:cs="Arial"/>
                <w:sz w:val="20"/>
                <w:szCs w:val="20"/>
              </w:rPr>
              <w:t>customers</w:t>
            </w:r>
            <w:r w:rsidRPr="00574DAC">
              <w:rPr>
                <w:rFonts w:ascii="Arial" w:hAnsi="Arial" w:cs="Arial"/>
                <w:sz w:val="20"/>
                <w:szCs w:val="20"/>
              </w:rPr>
              <w:t xml:space="preserve"> can have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 w:rsidRPr="00574DAC">
              <w:rPr>
                <w:rFonts w:ascii="Arial" w:hAnsi="Arial" w:cs="Arial"/>
                <w:sz w:val="20"/>
                <w:szCs w:val="20"/>
              </w:rPr>
              <w:t>to our decisions.</w:t>
            </w:r>
          </w:p>
          <w:p w14:paraId="64C70720" w14:textId="4EF7AEB7" w:rsidR="009235D6" w:rsidRPr="00574DAC" w:rsidRDefault="009235D6" w:rsidP="0019519F">
            <w:pPr>
              <w:numPr>
                <w:ilvl w:val="0"/>
                <w:numId w:val="14"/>
              </w:numPr>
              <w:spacing w:before="60" w:after="60" w:line="276" w:lineRule="auto"/>
              <w:ind w:left="227" w:hanging="227"/>
              <w:contextualSpacing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74DAC">
              <w:rPr>
                <w:rFonts w:ascii="Arial" w:hAnsi="Arial" w:cs="Arial"/>
                <w:sz w:val="20"/>
                <w:szCs w:val="20"/>
              </w:rPr>
              <w:t xml:space="preserve">Involve our </w:t>
            </w:r>
            <w:r w:rsidR="00173CE1">
              <w:rPr>
                <w:rFonts w:ascii="Arial" w:hAnsi="Arial" w:cs="Arial"/>
                <w:sz w:val="20"/>
                <w:szCs w:val="20"/>
              </w:rPr>
              <w:t>customer</w:t>
            </w:r>
            <w:r w:rsidRPr="00574DAC">
              <w:rPr>
                <w:rFonts w:ascii="Arial" w:hAnsi="Arial" w:cs="Arial"/>
                <w:sz w:val="20"/>
                <w:szCs w:val="20"/>
              </w:rPr>
              <w:t xml:space="preserve">s in the policy, </w:t>
            </w:r>
            <w:proofErr w:type="gramStart"/>
            <w:r w:rsidRPr="00574DAC">
              <w:rPr>
                <w:rFonts w:ascii="Arial" w:hAnsi="Arial" w:cs="Arial"/>
                <w:sz w:val="20"/>
                <w:szCs w:val="20"/>
              </w:rPr>
              <w:t>program</w:t>
            </w:r>
            <w:proofErr w:type="gramEnd"/>
            <w:r w:rsidRPr="00574DAC">
              <w:rPr>
                <w:rFonts w:ascii="Arial" w:hAnsi="Arial" w:cs="Arial"/>
                <w:sz w:val="20"/>
                <w:szCs w:val="20"/>
              </w:rPr>
              <w:t xml:space="preserve"> and regulation development process whenever we can.</w:t>
            </w:r>
          </w:p>
        </w:tc>
        <w:tc>
          <w:tcPr>
            <w:tcW w:w="3685" w:type="dxa"/>
            <w:shd w:val="clear" w:color="auto" w:fill="DCF6FC"/>
          </w:tcPr>
          <w:p w14:paraId="5A7D5F7E" w14:textId="77777777" w:rsidR="009235D6" w:rsidRPr="00574DAC" w:rsidRDefault="009235D6" w:rsidP="009235D6">
            <w:pPr>
              <w:numPr>
                <w:ilvl w:val="0"/>
                <w:numId w:val="15"/>
              </w:numPr>
              <w:spacing w:before="60" w:after="60" w:line="276" w:lineRule="auto"/>
              <w:ind w:left="227" w:hanging="22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4DAC">
              <w:rPr>
                <w:rFonts w:ascii="Arial" w:hAnsi="Arial" w:cs="Arial"/>
                <w:sz w:val="20"/>
                <w:szCs w:val="20"/>
              </w:rPr>
              <w:t>Create unrealistic expectations or fail to manage them.</w:t>
            </w:r>
          </w:p>
          <w:p w14:paraId="16C55385" w14:textId="77777777" w:rsidR="009235D6" w:rsidRPr="00574DAC" w:rsidRDefault="009235D6" w:rsidP="009235D6">
            <w:pPr>
              <w:numPr>
                <w:ilvl w:val="0"/>
                <w:numId w:val="15"/>
              </w:numPr>
              <w:spacing w:before="60" w:after="60" w:line="276" w:lineRule="auto"/>
              <w:ind w:left="227" w:hanging="22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4DAC">
              <w:rPr>
                <w:rFonts w:ascii="Arial" w:hAnsi="Arial" w:cs="Arial"/>
                <w:sz w:val="20"/>
                <w:szCs w:val="20"/>
              </w:rPr>
              <w:t>Say we’re consulting when we’re just providing information.</w:t>
            </w:r>
          </w:p>
        </w:tc>
      </w:tr>
      <w:tr w:rsidR="009235D6" w:rsidRPr="00574DAC" w14:paraId="499A6FFC" w14:textId="77777777" w:rsidTr="00F43101">
        <w:trPr>
          <w:trHeight w:val="1815"/>
        </w:trPr>
        <w:tc>
          <w:tcPr>
            <w:tcW w:w="2211" w:type="dxa"/>
            <w:tcBorders>
              <w:top w:val="single" w:sz="6" w:space="0" w:color="FFFFFF" w:themeColor="background1"/>
              <w:bottom w:val="single" w:sz="4" w:space="0" w:color="FFFFFF" w:themeColor="background1"/>
            </w:tcBorders>
            <w:shd w:val="clear" w:color="auto" w:fill="009BD2"/>
            <w:vAlign w:val="center"/>
          </w:tcPr>
          <w:p w14:paraId="0E39F0A7" w14:textId="0EF67308" w:rsidR="009235D6" w:rsidRPr="00921336" w:rsidRDefault="00605D9A" w:rsidP="009235D6">
            <w:pPr>
              <w:spacing w:after="60"/>
              <w:contextualSpacing/>
              <w:jc w:val="center"/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</w:pPr>
            <w:bookmarkStart w:id="1" w:name="_Hlk117674487"/>
            <w:bookmarkEnd w:id="0"/>
            <w:r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We</w:t>
            </w:r>
            <w:r w:rsidR="009235D6" w:rsidRPr="00921336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 xml:space="preserve"> communicate in </w:t>
            </w:r>
            <w:r w:rsidR="009235D6" w:rsidRPr="00921336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br/>
              <w:t xml:space="preserve">a clear and </w:t>
            </w:r>
            <w:r w:rsidR="009235D6" w:rsidRPr="00921336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br/>
              <w:t>accessible way</w:t>
            </w:r>
          </w:p>
        </w:tc>
        <w:tc>
          <w:tcPr>
            <w:tcW w:w="4535" w:type="dxa"/>
            <w:shd w:val="clear" w:color="auto" w:fill="C2EFFA"/>
          </w:tcPr>
          <w:p w14:paraId="5FD1E712" w14:textId="0FCEDEB0" w:rsidR="009235D6" w:rsidRPr="00574DAC" w:rsidRDefault="009235D6" w:rsidP="009235D6">
            <w:pPr>
              <w:numPr>
                <w:ilvl w:val="0"/>
                <w:numId w:val="14"/>
              </w:numPr>
              <w:spacing w:before="60" w:after="60" w:line="276" w:lineRule="auto"/>
              <w:ind w:left="227" w:hanging="22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4DAC">
              <w:rPr>
                <w:rFonts w:ascii="Arial" w:hAnsi="Arial" w:cs="Arial"/>
                <w:sz w:val="20"/>
                <w:szCs w:val="20"/>
              </w:rPr>
              <w:t>Use plain English whenever we can.</w:t>
            </w:r>
          </w:p>
          <w:p w14:paraId="129A846B" w14:textId="06E75536" w:rsidR="009235D6" w:rsidRPr="00574DAC" w:rsidRDefault="009235D6" w:rsidP="009235D6">
            <w:pPr>
              <w:numPr>
                <w:ilvl w:val="0"/>
                <w:numId w:val="14"/>
              </w:numPr>
              <w:spacing w:before="60" w:after="60" w:line="276" w:lineRule="auto"/>
              <w:ind w:left="227" w:hanging="22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4DAC">
              <w:rPr>
                <w:rFonts w:ascii="Arial" w:hAnsi="Arial" w:cs="Arial"/>
                <w:sz w:val="20"/>
                <w:szCs w:val="20"/>
              </w:rPr>
              <w:t>Admit when we don’t know something and follow up on it.</w:t>
            </w:r>
          </w:p>
          <w:p w14:paraId="4CD6BF68" w14:textId="1FA7B780" w:rsidR="009235D6" w:rsidRPr="00574DAC" w:rsidRDefault="009235D6" w:rsidP="009235D6">
            <w:pPr>
              <w:numPr>
                <w:ilvl w:val="0"/>
                <w:numId w:val="14"/>
              </w:numPr>
              <w:spacing w:before="60" w:after="60" w:line="276" w:lineRule="auto"/>
              <w:ind w:left="227" w:hanging="22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4DAC">
              <w:rPr>
                <w:rFonts w:ascii="Arial" w:hAnsi="Arial" w:cs="Arial"/>
                <w:sz w:val="20"/>
                <w:szCs w:val="20"/>
              </w:rPr>
              <w:t xml:space="preserve">Make sure we </w:t>
            </w:r>
            <w:r w:rsidR="00F43101">
              <w:rPr>
                <w:rFonts w:ascii="Arial" w:hAnsi="Arial" w:cs="Arial"/>
                <w:sz w:val="20"/>
                <w:szCs w:val="20"/>
              </w:rPr>
              <w:t>get back to customers</w:t>
            </w:r>
            <w:r w:rsidRPr="00574DAC">
              <w:rPr>
                <w:rFonts w:ascii="Arial" w:hAnsi="Arial" w:cs="Arial"/>
                <w:sz w:val="20"/>
                <w:szCs w:val="20"/>
              </w:rPr>
              <w:t xml:space="preserve"> and explain the </w:t>
            </w:r>
            <w:r w:rsidR="007D6733">
              <w:rPr>
                <w:rFonts w:ascii="Arial" w:hAnsi="Arial" w:cs="Arial"/>
                <w:sz w:val="20"/>
                <w:szCs w:val="20"/>
              </w:rPr>
              <w:t>reason</w:t>
            </w:r>
            <w:r w:rsidR="007D6733" w:rsidRPr="00574D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4DAC">
              <w:rPr>
                <w:rFonts w:ascii="Arial" w:hAnsi="Arial" w:cs="Arial"/>
                <w:sz w:val="20"/>
                <w:szCs w:val="20"/>
              </w:rPr>
              <w:t>for our decisions.</w:t>
            </w:r>
          </w:p>
          <w:p w14:paraId="2C6A2E19" w14:textId="2505551A" w:rsidR="009235D6" w:rsidRPr="00F43101" w:rsidRDefault="009235D6" w:rsidP="00F43101">
            <w:pPr>
              <w:numPr>
                <w:ilvl w:val="0"/>
                <w:numId w:val="14"/>
              </w:numPr>
              <w:spacing w:before="60" w:after="60" w:line="276" w:lineRule="auto"/>
              <w:ind w:left="227" w:hanging="22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4DAC">
              <w:rPr>
                <w:rFonts w:ascii="Arial" w:hAnsi="Arial" w:cs="Arial"/>
                <w:sz w:val="20"/>
                <w:szCs w:val="20"/>
              </w:rPr>
              <w:t>Actively seek and listen to feedback.</w:t>
            </w:r>
          </w:p>
        </w:tc>
        <w:tc>
          <w:tcPr>
            <w:tcW w:w="3685" w:type="dxa"/>
            <w:shd w:val="clear" w:color="auto" w:fill="DCF6FC"/>
          </w:tcPr>
          <w:p w14:paraId="00772F88" w14:textId="77777777" w:rsidR="009235D6" w:rsidRPr="00574DAC" w:rsidRDefault="009235D6" w:rsidP="009235D6">
            <w:pPr>
              <w:numPr>
                <w:ilvl w:val="0"/>
                <w:numId w:val="15"/>
              </w:numPr>
              <w:spacing w:before="60" w:after="60" w:line="276" w:lineRule="auto"/>
              <w:ind w:left="227" w:hanging="22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4DAC">
              <w:rPr>
                <w:rFonts w:ascii="Arial" w:hAnsi="Arial" w:cs="Arial"/>
                <w:sz w:val="20"/>
                <w:szCs w:val="20"/>
              </w:rPr>
              <w:t>Tell people what they want to hear because it’s the easy option.</w:t>
            </w:r>
          </w:p>
          <w:p w14:paraId="77671B97" w14:textId="003768D2" w:rsidR="009235D6" w:rsidRPr="00574DAC" w:rsidRDefault="009235D6" w:rsidP="009235D6">
            <w:pPr>
              <w:numPr>
                <w:ilvl w:val="0"/>
                <w:numId w:val="15"/>
              </w:numPr>
              <w:spacing w:before="60" w:after="60" w:line="276" w:lineRule="auto"/>
              <w:ind w:left="227" w:hanging="227"/>
              <w:contextualSpacing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74DAC">
              <w:rPr>
                <w:rFonts w:ascii="Arial" w:hAnsi="Arial" w:cs="Arial"/>
                <w:sz w:val="20"/>
                <w:szCs w:val="20"/>
              </w:rPr>
              <w:t>Bluff when we don’t know the answer.</w:t>
            </w:r>
          </w:p>
        </w:tc>
      </w:tr>
      <w:tr w:rsidR="009235D6" w:rsidRPr="00574DAC" w14:paraId="0E912C27" w14:textId="77777777" w:rsidTr="003A7E36">
        <w:trPr>
          <w:trHeight w:val="2041"/>
        </w:trPr>
        <w:tc>
          <w:tcPr>
            <w:tcW w:w="221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9BD2"/>
            <w:vAlign w:val="center"/>
          </w:tcPr>
          <w:p w14:paraId="44C6ECCA" w14:textId="68BCE00E" w:rsidR="009235D6" w:rsidRPr="00921336" w:rsidRDefault="00605D9A" w:rsidP="009235D6">
            <w:pPr>
              <w:spacing w:after="60"/>
              <w:contextualSpacing/>
              <w:jc w:val="center"/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</w:pPr>
            <w:bookmarkStart w:id="2" w:name="_Hlk117674542"/>
            <w:bookmarkEnd w:id="1"/>
            <w:r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We</w:t>
            </w:r>
            <w:r w:rsidR="009235D6" w:rsidRPr="00921336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="009235D6" w:rsidRPr="00921336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br/>
              <w:t>build trust</w:t>
            </w:r>
          </w:p>
        </w:tc>
        <w:tc>
          <w:tcPr>
            <w:tcW w:w="4535" w:type="dxa"/>
            <w:shd w:val="clear" w:color="auto" w:fill="C2EFFA"/>
          </w:tcPr>
          <w:p w14:paraId="1E76DDD9" w14:textId="77777777" w:rsidR="009235D6" w:rsidRPr="00574DAC" w:rsidRDefault="009235D6" w:rsidP="009235D6">
            <w:pPr>
              <w:numPr>
                <w:ilvl w:val="0"/>
                <w:numId w:val="15"/>
              </w:numPr>
              <w:spacing w:after="60" w:line="276" w:lineRule="auto"/>
              <w:ind w:left="227" w:hanging="22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4DAC">
              <w:rPr>
                <w:rFonts w:ascii="Arial" w:hAnsi="Arial" w:cs="Arial"/>
                <w:sz w:val="20"/>
                <w:szCs w:val="20"/>
              </w:rPr>
              <w:t>Respect confidential information and deal with it appropriately.</w:t>
            </w:r>
          </w:p>
          <w:p w14:paraId="512986DA" w14:textId="77777777" w:rsidR="009235D6" w:rsidRPr="00574DAC" w:rsidRDefault="009235D6" w:rsidP="009235D6">
            <w:pPr>
              <w:numPr>
                <w:ilvl w:val="0"/>
                <w:numId w:val="15"/>
              </w:numPr>
              <w:spacing w:after="60" w:line="276" w:lineRule="auto"/>
              <w:ind w:left="227" w:hanging="22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4DAC">
              <w:rPr>
                <w:rFonts w:ascii="Arial" w:hAnsi="Arial" w:cs="Arial"/>
                <w:sz w:val="20"/>
                <w:szCs w:val="20"/>
              </w:rPr>
              <w:t>Avoid and manage conflicts of interest.</w:t>
            </w:r>
          </w:p>
          <w:p w14:paraId="192E02D0" w14:textId="7CC3AC99" w:rsidR="009235D6" w:rsidRPr="00574DAC" w:rsidRDefault="009235D6" w:rsidP="009235D6">
            <w:pPr>
              <w:numPr>
                <w:ilvl w:val="0"/>
                <w:numId w:val="15"/>
              </w:numPr>
              <w:spacing w:after="60" w:line="276" w:lineRule="auto"/>
              <w:ind w:left="227" w:hanging="22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4DAC">
              <w:rPr>
                <w:rFonts w:ascii="Arial" w:hAnsi="Arial" w:cs="Arial"/>
                <w:sz w:val="20"/>
                <w:szCs w:val="20"/>
              </w:rPr>
              <w:t xml:space="preserve">Acknowledge a </w:t>
            </w:r>
            <w:r w:rsidR="00F43101">
              <w:rPr>
                <w:rFonts w:ascii="Arial" w:hAnsi="Arial" w:cs="Arial"/>
                <w:sz w:val="20"/>
                <w:szCs w:val="20"/>
              </w:rPr>
              <w:t>customer’s</w:t>
            </w:r>
            <w:r w:rsidRPr="00574DAC">
              <w:rPr>
                <w:rFonts w:ascii="Arial" w:hAnsi="Arial" w:cs="Arial"/>
                <w:sz w:val="20"/>
                <w:szCs w:val="20"/>
              </w:rPr>
              <w:t xml:space="preserve"> input and explain the impact it has had on our decisions.</w:t>
            </w:r>
          </w:p>
        </w:tc>
        <w:tc>
          <w:tcPr>
            <w:tcW w:w="3685" w:type="dxa"/>
            <w:shd w:val="clear" w:color="auto" w:fill="DCF6FC"/>
          </w:tcPr>
          <w:p w14:paraId="152EA927" w14:textId="5719E979" w:rsidR="009235D6" w:rsidRPr="00574DAC" w:rsidRDefault="009235D6" w:rsidP="009235D6">
            <w:pPr>
              <w:numPr>
                <w:ilvl w:val="0"/>
                <w:numId w:val="15"/>
              </w:numPr>
              <w:spacing w:after="60" w:line="276" w:lineRule="auto"/>
              <w:ind w:left="227" w:hanging="22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4DAC">
              <w:rPr>
                <w:rFonts w:ascii="Arial" w:hAnsi="Arial" w:cs="Arial"/>
                <w:sz w:val="20"/>
                <w:szCs w:val="20"/>
              </w:rPr>
              <w:t xml:space="preserve">Ignore what our </w:t>
            </w:r>
            <w:r w:rsidR="00173CE1">
              <w:rPr>
                <w:rFonts w:ascii="Arial" w:hAnsi="Arial" w:cs="Arial"/>
                <w:sz w:val="20"/>
                <w:szCs w:val="20"/>
              </w:rPr>
              <w:t>customer</w:t>
            </w:r>
            <w:r w:rsidRPr="00574DAC">
              <w:rPr>
                <w:rFonts w:ascii="Arial" w:hAnsi="Arial" w:cs="Arial"/>
                <w:sz w:val="20"/>
                <w:szCs w:val="20"/>
              </w:rPr>
              <w:t xml:space="preserve"> wants.</w:t>
            </w:r>
          </w:p>
          <w:p w14:paraId="3A1BEA80" w14:textId="77777777" w:rsidR="009235D6" w:rsidRPr="00574DAC" w:rsidRDefault="009235D6" w:rsidP="009235D6">
            <w:pPr>
              <w:numPr>
                <w:ilvl w:val="0"/>
                <w:numId w:val="15"/>
              </w:numPr>
              <w:spacing w:after="60" w:line="276" w:lineRule="auto"/>
              <w:ind w:left="227" w:hanging="22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4DAC">
              <w:rPr>
                <w:rFonts w:ascii="Arial" w:hAnsi="Arial" w:cs="Arial"/>
                <w:sz w:val="20"/>
                <w:szCs w:val="20"/>
              </w:rPr>
              <w:t>Go into important conversations unprepared.</w:t>
            </w:r>
          </w:p>
          <w:p w14:paraId="52472632" w14:textId="62BE33C3" w:rsidR="009235D6" w:rsidRPr="00F43101" w:rsidRDefault="009235D6" w:rsidP="00F43101">
            <w:pPr>
              <w:numPr>
                <w:ilvl w:val="0"/>
                <w:numId w:val="15"/>
              </w:numPr>
              <w:spacing w:after="60" w:line="276" w:lineRule="auto"/>
              <w:ind w:left="227" w:hanging="22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4DAC">
              <w:rPr>
                <w:rFonts w:ascii="Arial" w:hAnsi="Arial" w:cs="Arial"/>
                <w:sz w:val="20"/>
                <w:szCs w:val="20"/>
              </w:rPr>
              <w:t xml:space="preserve">Waste our </w:t>
            </w:r>
            <w:r w:rsidR="00F43101">
              <w:rPr>
                <w:rFonts w:ascii="Arial" w:hAnsi="Arial" w:cs="Arial"/>
                <w:sz w:val="20"/>
                <w:szCs w:val="20"/>
              </w:rPr>
              <w:t>customer’s</w:t>
            </w:r>
            <w:r w:rsidRPr="00574DAC">
              <w:rPr>
                <w:rFonts w:ascii="Arial" w:hAnsi="Arial" w:cs="Arial"/>
                <w:sz w:val="20"/>
                <w:szCs w:val="20"/>
              </w:rPr>
              <w:t xml:space="preserve"> time.</w:t>
            </w:r>
          </w:p>
        </w:tc>
      </w:tr>
      <w:tr w:rsidR="009235D6" w:rsidRPr="00574DAC" w14:paraId="5A177494" w14:textId="77777777" w:rsidTr="0070539E">
        <w:trPr>
          <w:trHeight w:val="3094"/>
        </w:trPr>
        <w:tc>
          <w:tcPr>
            <w:tcW w:w="2211" w:type="dxa"/>
            <w:tcBorders>
              <w:top w:val="single" w:sz="4" w:space="0" w:color="FFFFFF" w:themeColor="background1"/>
              <w:bottom w:val="single" w:sz="6" w:space="0" w:color="FFFFFF" w:themeColor="background1"/>
            </w:tcBorders>
            <w:shd w:val="clear" w:color="auto" w:fill="009BD2"/>
            <w:vAlign w:val="center"/>
          </w:tcPr>
          <w:p w14:paraId="72577B6D" w14:textId="30EC79E4" w:rsidR="009235D6" w:rsidRPr="00921336" w:rsidRDefault="00605D9A" w:rsidP="009235D6">
            <w:pPr>
              <w:spacing w:after="60"/>
              <w:contextualSpacing/>
              <w:jc w:val="center"/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</w:pPr>
            <w:bookmarkStart w:id="3" w:name="_Hlk117674576"/>
            <w:bookmarkEnd w:id="2"/>
            <w:r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lastRenderedPageBreak/>
              <w:t>We have an</w:t>
            </w:r>
            <w:r w:rsidR="009235D6" w:rsidRPr="00921336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 xml:space="preserve"> open door</w:t>
            </w:r>
          </w:p>
        </w:tc>
        <w:tc>
          <w:tcPr>
            <w:tcW w:w="4535" w:type="dxa"/>
            <w:tcBorders>
              <w:bottom w:val="single" w:sz="6" w:space="0" w:color="FFFFFF" w:themeColor="background1"/>
            </w:tcBorders>
            <w:shd w:val="clear" w:color="auto" w:fill="C2EFFA"/>
          </w:tcPr>
          <w:p w14:paraId="488CE892" w14:textId="4989FC56" w:rsidR="007D6733" w:rsidRPr="00574DAC" w:rsidRDefault="007D6733" w:rsidP="007D6733">
            <w:pPr>
              <w:numPr>
                <w:ilvl w:val="0"/>
                <w:numId w:val="15"/>
              </w:numPr>
              <w:spacing w:after="60" w:line="276" w:lineRule="auto"/>
              <w:ind w:left="227" w:hanging="227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 sure</w:t>
            </w:r>
            <w:r w:rsidRPr="00574DAC">
              <w:rPr>
                <w:rFonts w:ascii="Arial" w:hAnsi="Arial" w:cs="Arial"/>
                <w:sz w:val="20"/>
                <w:szCs w:val="20"/>
              </w:rPr>
              <w:t xml:space="preserve"> that </w:t>
            </w:r>
            <w:r>
              <w:rPr>
                <w:rFonts w:ascii="Arial" w:hAnsi="Arial" w:cs="Arial"/>
                <w:sz w:val="20"/>
                <w:szCs w:val="20"/>
              </w:rPr>
              <w:t>people who contact us have</w:t>
            </w:r>
            <w:r w:rsidRPr="00574DAC">
              <w:rPr>
                <w:rFonts w:ascii="Arial" w:hAnsi="Arial" w:cs="Arial"/>
                <w:sz w:val="20"/>
                <w:szCs w:val="20"/>
              </w:rPr>
              <w:t xml:space="preserve"> a positive </w:t>
            </w:r>
            <w:r>
              <w:rPr>
                <w:rFonts w:ascii="Arial" w:hAnsi="Arial" w:cs="Arial"/>
                <w:sz w:val="20"/>
                <w:szCs w:val="20"/>
              </w:rPr>
              <w:t>experience</w:t>
            </w:r>
            <w:r w:rsidRPr="00574DAC">
              <w:rPr>
                <w:rFonts w:ascii="Arial" w:hAnsi="Arial" w:cs="Arial"/>
                <w:sz w:val="20"/>
                <w:szCs w:val="20"/>
              </w:rPr>
              <w:t xml:space="preserve"> and get answer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74DAC">
              <w:rPr>
                <w:rFonts w:ascii="Arial" w:hAnsi="Arial" w:cs="Arial"/>
                <w:sz w:val="20"/>
                <w:szCs w:val="20"/>
              </w:rPr>
              <w:t xml:space="preserve"> to their question</w:t>
            </w:r>
            <w:r>
              <w:rPr>
                <w:rFonts w:ascii="Arial" w:hAnsi="Arial" w:cs="Arial"/>
                <w:sz w:val="20"/>
                <w:szCs w:val="20"/>
              </w:rPr>
              <w:t>s.</w:t>
            </w:r>
          </w:p>
          <w:p w14:paraId="21270BB2" w14:textId="29971948" w:rsidR="009235D6" w:rsidRPr="00574DAC" w:rsidRDefault="009235D6" w:rsidP="009235D6">
            <w:pPr>
              <w:numPr>
                <w:ilvl w:val="0"/>
                <w:numId w:val="15"/>
              </w:numPr>
              <w:spacing w:after="60" w:line="276" w:lineRule="auto"/>
              <w:ind w:left="227" w:hanging="22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4DAC">
              <w:rPr>
                <w:rFonts w:ascii="Arial" w:hAnsi="Arial" w:cs="Arial"/>
                <w:sz w:val="20"/>
                <w:szCs w:val="20"/>
              </w:rPr>
              <w:t xml:space="preserve">Be aware of what the rest of the department does so we can refer </w:t>
            </w:r>
            <w:r w:rsidR="00F43101">
              <w:rPr>
                <w:rFonts w:ascii="Arial" w:hAnsi="Arial" w:cs="Arial"/>
                <w:sz w:val="20"/>
                <w:szCs w:val="20"/>
              </w:rPr>
              <w:t>customers</w:t>
            </w:r>
            <w:r w:rsidRPr="00574DAC">
              <w:rPr>
                <w:rFonts w:ascii="Arial" w:hAnsi="Arial" w:cs="Arial"/>
                <w:sz w:val="20"/>
                <w:szCs w:val="20"/>
              </w:rPr>
              <w:t xml:space="preserve"> to the right area</w:t>
            </w:r>
            <w:r w:rsidR="00426C6C">
              <w:rPr>
                <w:rFonts w:ascii="Arial" w:hAnsi="Arial" w:cs="Arial"/>
                <w:sz w:val="20"/>
                <w:szCs w:val="20"/>
              </w:rPr>
              <w:t xml:space="preserve"> straight away</w:t>
            </w:r>
            <w:r w:rsidRPr="00574DA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34F6A9" w14:textId="1FB1CCE7" w:rsidR="00426C6C" w:rsidRPr="00574DAC" w:rsidRDefault="00426C6C" w:rsidP="009235D6">
            <w:pPr>
              <w:numPr>
                <w:ilvl w:val="0"/>
                <w:numId w:val="15"/>
              </w:numPr>
              <w:spacing w:after="60" w:line="276" w:lineRule="auto"/>
              <w:ind w:left="227" w:hanging="22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4DAC">
              <w:rPr>
                <w:rFonts w:ascii="Arial" w:hAnsi="Arial" w:cs="Arial"/>
                <w:sz w:val="20"/>
                <w:szCs w:val="20"/>
              </w:rPr>
              <w:t>Have clear referral tools and pathways.</w:t>
            </w:r>
          </w:p>
          <w:p w14:paraId="265AB84D" w14:textId="3FCCBFA9" w:rsidR="009235D6" w:rsidRPr="00426C6C" w:rsidRDefault="009235D6" w:rsidP="00426C6C">
            <w:pPr>
              <w:numPr>
                <w:ilvl w:val="0"/>
                <w:numId w:val="15"/>
              </w:numPr>
              <w:spacing w:after="60" w:line="276" w:lineRule="auto"/>
              <w:ind w:left="227" w:hanging="227"/>
              <w:contextualSpacing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74DAC">
              <w:rPr>
                <w:rFonts w:ascii="Arial" w:hAnsi="Arial" w:cs="Arial"/>
                <w:sz w:val="20"/>
                <w:szCs w:val="20"/>
              </w:rPr>
              <w:t xml:space="preserve">Maintain a good website and </w:t>
            </w:r>
            <w:r w:rsidR="007D6733">
              <w:rPr>
                <w:rFonts w:ascii="Arial" w:hAnsi="Arial" w:cs="Arial"/>
                <w:sz w:val="20"/>
                <w:szCs w:val="20"/>
              </w:rPr>
              <w:t xml:space="preserve">online presence </w:t>
            </w:r>
            <w:r w:rsidRPr="00574DAC">
              <w:rPr>
                <w:rFonts w:ascii="Arial" w:hAnsi="Arial" w:cs="Arial"/>
                <w:sz w:val="20"/>
                <w:szCs w:val="20"/>
              </w:rPr>
              <w:t>that’s easy to navigate and up to date.</w:t>
            </w:r>
          </w:p>
        </w:tc>
        <w:tc>
          <w:tcPr>
            <w:tcW w:w="3685" w:type="dxa"/>
            <w:tcBorders>
              <w:bottom w:val="single" w:sz="6" w:space="0" w:color="FFFFFF" w:themeColor="background1"/>
            </w:tcBorders>
            <w:shd w:val="clear" w:color="auto" w:fill="DCF6FC"/>
          </w:tcPr>
          <w:p w14:paraId="015D2AF5" w14:textId="77777777" w:rsidR="009235D6" w:rsidRPr="00574DAC" w:rsidRDefault="009235D6" w:rsidP="009235D6">
            <w:pPr>
              <w:numPr>
                <w:ilvl w:val="0"/>
                <w:numId w:val="15"/>
              </w:numPr>
              <w:spacing w:after="60" w:line="276" w:lineRule="auto"/>
              <w:ind w:left="227" w:hanging="22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4DAC">
              <w:rPr>
                <w:rFonts w:ascii="Arial" w:hAnsi="Arial" w:cs="Arial"/>
                <w:sz w:val="20"/>
                <w:szCs w:val="20"/>
              </w:rPr>
              <w:t>Say “I can’t help you” and end the conversation there.</w:t>
            </w:r>
          </w:p>
          <w:p w14:paraId="017E01CB" w14:textId="62CEF1D5" w:rsidR="009235D6" w:rsidRPr="006B4627" w:rsidRDefault="00426C6C" w:rsidP="009235D6">
            <w:pPr>
              <w:numPr>
                <w:ilvl w:val="0"/>
                <w:numId w:val="15"/>
              </w:numPr>
              <w:spacing w:after="60" w:line="276" w:lineRule="auto"/>
              <w:ind w:left="227" w:hanging="227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Keep p</w:t>
            </w:r>
            <w:r w:rsidR="00F43101">
              <w:rPr>
                <w:rFonts w:ascii="Arial" w:hAnsi="Arial" w:cs="Arial"/>
                <w:sz w:val="20"/>
                <w:szCs w:val="20"/>
              </w:rPr>
              <w:t>ass</w:t>
            </w:r>
            <w:r>
              <w:rPr>
                <w:rFonts w:ascii="Arial" w:hAnsi="Arial" w:cs="Arial"/>
                <w:sz w:val="20"/>
                <w:szCs w:val="20"/>
              </w:rPr>
              <w:t xml:space="preserve">ing </w:t>
            </w:r>
            <w:r w:rsidR="009235D6" w:rsidRPr="00574DAC">
              <w:rPr>
                <w:rFonts w:ascii="Arial" w:hAnsi="Arial" w:cs="Arial"/>
                <w:sz w:val="20"/>
                <w:szCs w:val="20"/>
              </w:rPr>
              <w:t>a c</w:t>
            </w:r>
            <w:r w:rsidR="00F43101">
              <w:rPr>
                <w:rFonts w:ascii="Arial" w:hAnsi="Arial" w:cs="Arial"/>
                <w:sz w:val="20"/>
                <w:szCs w:val="20"/>
              </w:rPr>
              <w:t>ustomer</w:t>
            </w:r>
            <w:r w:rsidR="009235D6" w:rsidRPr="00574DAC">
              <w:rPr>
                <w:rFonts w:ascii="Arial" w:hAnsi="Arial" w:cs="Arial"/>
                <w:sz w:val="20"/>
                <w:szCs w:val="20"/>
              </w:rPr>
              <w:t xml:space="preserve"> around the system.</w:t>
            </w:r>
          </w:p>
        </w:tc>
      </w:tr>
      <w:tr w:rsidR="009235D6" w:rsidRPr="00574DAC" w14:paraId="1E8B4493" w14:textId="77777777" w:rsidTr="0070539E">
        <w:trPr>
          <w:trHeight w:val="3955"/>
        </w:trPr>
        <w:tc>
          <w:tcPr>
            <w:tcW w:w="2211" w:type="dxa"/>
            <w:tcBorders>
              <w:top w:val="single" w:sz="6" w:space="0" w:color="FFFFFF" w:themeColor="background1"/>
              <w:bottom w:val="single" w:sz="4" w:space="0" w:color="0070C0"/>
            </w:tcBorders>
            <w:shd w:val="clear" w:color="auto" w:fill="009BD2"/>
            <w:vAlign w:val="center"/>
          </w:tcPr>
          <w:p w14:paraId="2C5B9C7E" w14:textId="38205B83" w:rsidR="009235D6" w:rsidRPr="00921336" w:rsidRDefault="00605D9A" w:rsidP="009235D6">
            <w:pPr>
              <w:spacing w:after="60"/>
              <w:contextualSpacing/>
              <w:jc w:val="center"/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</w:pPr>
            <w:bookmarkStart w:id="4" w:name="_Hlk117674626"/>
            <w:bookmarkEnd w:id="3"/>
            <w:r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We work wi</w:t>
            </w:r>
            <w:r w:rsidR="009235D6" w:rsidRPr="00921336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th pace and probity</w:t>
            </w:r>
          </w:p>
        </w:tc>
        <w:tc>
          <w:tcPr>
            <w:tcW w:w="4535" w:type="dxa"/>
            <w:tcBorders>
              <w:top w:val="single" w:sz="6" w:space="0" w:color="FFFFFF" w:themeColor="background1"/>
              <w:bottom w:val="single" w:sz="4" w:space="0" w:color="0070C0"/>
            </w:tcBorders>
            <w:shd w:val="clear" w:color="auto" w:fill="C2EFFA"/>
          </w:tcPr>
          <w:p w14:paraId="31C289CA" w14:textId="5EEDA2DE" w:rsidR="009235D6" w:rsidRDefault="00426C6C" w:rsidP="009235D6">
            <w:pPr>
              <w:numPr>
                <w:ilvl w:val="0"/>
                <w:numId w:val="15"/>
              </w:numPr>
              <w:spacing w:after="60" w:line="276" w:lineRule="auto"/>
              <w:ind w:left="227" w:hanging="227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Keep r</w:t>
            </w:r>
            <w:r w:rsidR="009235D6">
              <w:rPr>
                <w:rFonts w:ascii="Arial" w:hAnsi="Arial" w:cs="Arial"/>
                <w:sz w:val="20"/>
                <w:szCs w:val="20"/>
              </w:rPr>
              <w:t>ecord</w:t>
            </w:r>
            <w:r>
              <w:rPr>
                <w:rFonts w:ascii="Arial" w:hAnsi="Arial" w:cs="Arial"/>
                <w:sz w:val="20"/>
                <w:szCs w:val="20"/>
              </w:rPr>
              <w:t>s so our customers information is protected and used appropriately.</w:t>
            </w:r>
          </w:p>
          <w:p w14:paraId="2711D31C" w14:textId="76230163" w:rsidR="009235D6" w:rsidRDefault="009235D6" w:rsidP="009235D6">
            <w:pPr>
              <w:numPr>
                <w:ilvl w:val="0"/>
                <w:numId w:val="15"/>
              </w:numPr>
              <w:spacing w:after="60" w:line="276" w:lineRule="auto"/>
              <w:ind w:left="227" w:hanging="227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Commit to timeframes and meet them or explain why we won’t meet them </w:t>
            </w:r>
            <w:r w:rsidR="006D7810">
              <w:rPr>
                <w:rFonts w:ascii="Arial" w:hAnsi="Arial" w:cs="Arial"/>
                <w:sz w:val="20"/>
                <w:szCs w:val="20"/>
              </w:rPr>
              <w:t>if</w:t>
            </w:r>
            <w:r>
              <w:rPr>
                <w:rFonts w:ascii="Arial" w:hAnsi="Arial" w:cs="Arial"/>
                <w:sz w:val="20"/>
                <w:szCs w:val="20"/>
              </w:rPr>
              <w:t xml:space="preserve"> they </w:t>
            </w:r>
            <w:r w:rsidR="006D7810">
              <w:rPr>
                <w:rFonts w:ascii="Arial" w:hAnsi="Arial" w:cs="Arial"/>
                <w:sz w:val="20"/>
                <w:szCs w:val="20"/>
              </w:rPr>
              <w:t>change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58CE1C" w14:textId="2A350893" w:rsidR="009235D6" w:rsidRDefault="009235D6" w:rsidP="009235D6">
            <w:pPr>
              <w:numPr>
                <w:ilvl w:val="0"/>
                <w:numId w:val="15"/>
              </w:numPr>
              <w:spacing w:after="60" w:line="276" w:lineRule="auto"/>
              <w:ind w:left="227" w:hanging="227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Set realistic expectations about timeframes for decisions and communicate throughout </w:t>
            </w:r>
            <w:r w:rsidR="00426C6C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process.</w:t>
            </w:r>
          </w:p>
          <w:p w14:paraId="759136A7" w14:textId="4F96C4F8" w:rsidR="00426C6C" w:rsidRDefault="009235D6" w:rsidP="00426C6C">
            <w:pPr>
              <w:numPr>
                <w:ilvl w:val="0"/>
                <w:numId w:val="15"/>
              </w:numPr>
              <w:spacing w:after="60" w:line="276" w:lineRule="auto"/>
              <w:ind w:left="227" w:hanging="227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 as efficient as we can while still ensuring our processes and practices meet the highest standards.</w:t>
            </w:r>
            <w:r w:rsidR="00426C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8F5421" w14:textId="52196BB7" w:rsidR="009235D6" w:rsidRPr="0019519F" w:rsidRDefault="00426C6C" w:rsidP="0019519F">
            <w:pPr>
              <w:numPr>
                <w:ilvl w:val="0"/>
                <w:numId w:val="15"/>
              </w:numPr>
              <w:spacing w:after="60" w:line="276" w:lineRule="auto"/>
              <w:ind w:left="227" w:hanging="227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certainty of process, not certainty of outcome.</w:t>
            </w:r>
          </w:p>
        </w:tc>
        <w:tc>
          <w:tcPr>
            <w:tcW w:w="3685" w:type="dxa"/>
            <w:tcBorders>
              <w:top w:val="single" w:sz="6" w:space="0" w:color="FFFFFF" w:themeColor="background1"/>
              <w:bottom w:val="single" w:sz="4" w:space="0" w:color="0070C0"/>
            </w:tcBorders>
            <w:shd w:val="clear" w:color="auto" w:fill="DCF6FC"/>
          </w:tcPr>
          <w:p w14:paraId="220457EC" w14:textId="3E652779" w:rsidR="00426C6C" w:rsidRDefault="00426C6C" w:rsidP="00426C6C">
            <w:pPr>
              <w:numPr>
                <w:ilvl w:val="0"/>
                <w:numId w:val="15"/>
              </w:numPr>
              <w:spacing w:after="60" w:line="276" w:lineRule="auto"/>
              <w:ind w:left="227" w:hanging="227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 customers to repeatedly tell us the same information.</w:t>
            </w:r>
          </w:p>
          <w:p w14:paraId="029B6556" w14:textId="660F4891" w:rsidR="009235D6" w:rsidRPr="0019519F" w:rsidRDefault="009235D6" w:rsidP="0019519F">
            <w:pPr>
              <w:numPr>
                <w:ilvl w:val="0"/>
                <w:numId w:val="15"/>
              </w:numPr>
              <w:spacing w:after="60" w:line="276" w:lineRule="auto"/>
              <w:ind w:left="227" w:hanging="22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4DAC">
              <w:rPr>
                <w:rFonts w:ascii="Arial" w:hAnsi="Arial" w:cs="Arial"/>
                <w:sz w:val="20"/>
                <w:szCs w:val="20"/>
              </w:rPr>
              <w:t xml:space="preserve">Make commitments without having the required authority or </w:t>
            </w:r>
            <w:r w:rsidR="006D7810">
              <w:rPr>
                <w:rFonts w:ascii="Arial" w:hAnsi="Arial" w:cs="Arial"/>
                <w:sz w:val="20"/>
                <w:szCs w:val="20"/>
              </w:rPr>
              <w:t>delegation</w:t>
            </w:r>
            <w:r w:rsidRPr="00574D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bookmarkEnd w:id="4"/>
    </w:tbl>
    <w:p w14:paraId="4E6CEB09" w14:textId="77777777" w:rsidR="00594155" w:rsidRPr="00574DAC" w:rsidRDefault="00594155" w:rsidP="00D16874">
      <w:pPr>
        <w:rPr>
          <w:rFonts w:ascii="Arial" w:hAnsi="Arial" w:cs="Arial"/>
          <w:i/>
          <w:iCs/>
        </w:rPr>
      </w:pPr>
    </w:p>
    <w:sectPr w:rsidR="00594155" w:rsidRPr="00574DAC" w:rsidSect="00E26121">
      <w:footerReference w:type="default" r:id="rId7"/>
      <w:headerReference w:type="first" r:id="rId8"/>
      <w:pgSz w:w="11906" w:h="16838"/>
      <w:pgMar w:top="568" w:right="566" w:bottom="2127" w:left="709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4A020" w14:textId="77777777" w:rsidR="00EB4337" w:rsidRDefault="00EB4337" w:rsidP="00065890">
      <w:r>
        <w:separator/>
      </w:r>
    </w:p>
  </w:endnote>
  <w:endnote w:type="continuationSeparator" w:id="0">
    <w:p w14:paraId="68DB56FF" w14:textId="77777777" w:rsidR="00EB4337" w:rsidRDefault="00EB4337" w:rsidP="0006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30823" w14:textId="77777777" w:rsidR="00065890" w:rsidRPr="00C963AF" w:rsidRDefault="00065890" w:rsidP="00C963AF">
    <w:pPr>
      <w:pStyle w:val="Footer"/>
      <w:jc w:val="center"/>
      <w:rPr>
        <w:b/>
        <w:bCs/>
      </w:rPr>
    </w:pPr>
    <w:r w:rsidRPr="00C963AF">
      <w:rPr>
        <w:b/>
        <w:bCs/>
      </w:rPr>
      <w:t>D</w:t>
    </w:r>
    <w:r w:rsidR="00C963AF" w:rsidRPr="00C963AF">
      <w:rPr>
        <w:b/>
        <w:bCs/>
      </w:rPr>
      <w:t>RAFT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B514F" w14:textId="77777777" w:rsidR="00EB4337" w:rsidRDefault="00EB4337" w:rsidP="00065890">
      <w:r>
        <w:separator/>
      </w:r>
    </w:p>
  </w:footnote>
  <w:footnote w:type="continuationSeparator" w:id="0">
    <w:p w14:paraId="31F79E12" w14:textId="77777777" w:rsidR="00EB4337" w:rsidRDefault="00EB4337" w:rsidP="00065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A536" w14:textId="6E0A85CF" w:rsidR="00065890" w:rsidRDefault="0088598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8AE605" wp14:editId="4FCAA0DD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56739" cy="10686975"/>
          <wp:effectExtent l="0" t="0" r="6350" b="635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39" cy="10686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1386"/>
    <w:multiLevelType w:val="hybridMultilevel"/>
    <w:tmpl w:val="5C081B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D711F4"/>
    <w:multiLevelType w:val="hybridMultilevel"/>
    <w:tmpl w:val="CCB61E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05610"/>
    <w:multiLevelType w:val="hybridMultilevel"/>
    <w:tmpl w:val="EFD694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F55D51"/>
    <w:multiLevelType w:val="hybridMultilevel"/>
    <w:tmpl w:val="750013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462C61"/>
    <w:multiLevelType w:val="hybridMultilevel"/>
    <w:tmpl w:val="0B2E3BDE"/>
    <w:lvl w:ilvl="0" w:tplc="50A2A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3050F"/>
    <w:multiLevelType w:val="hybridMultilevel"/>
    <w:tmpl w:val="8B247D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426117"/>
    <w:multiLevelType w:val="hybridMultilevel"/>
    <w:tmpl w:val="DFE62B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019F3"/>
    <w:multiLevelType w:val="hybridMultilevel"/>
    <w:tmpl w:val="F93C1F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BD58ED"/>
    <w:multiLevelType w:val="hybridMultilevel"/>
    <w:tmpl w:val="D6CE1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461576"/>
    <w:multiLevelType w:val="hybridMultilevel"/>
    <w:tmpl w:val="1E60B2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1761FF"/>
    <w:multiLevelType w:val="hybridMultilevel"/>
    <w:tmpl w:val="998046DA"/>
    <w:lvl w:ilvl="0" w:tplc="50A2A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14DCE"/>
    <w:multiLevelType w:val="hybridMultilevel"/>
    <w:tmpl w:val="6B38B2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661728"/>
    <w:multiLevelType w:val="hybridMultilevel"/>
    <w:tmpl w:val="3BE2DD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DA0F67"/>
    <w:multiLevelType w:val="hybridMultilevel"/>
    <w:tmpl w:val="007CE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711F5F"/>
    <w:multiLevelType w:val="hybridMultilevel"/>
    <w:tmpl w:val="5CDE17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9"/>
  </w:num>
  <w:num w:numId="5">
    <w:abstractNumId w:val="11"/>
  </w:num>
  <w:num w:numId="6">
    <w:abstractNumId w:val="12"/>
  </w:num>
  <w:num w:numId="7">
    <w:abstractNumId w:val="2"/>
  </w:num>
  <w:num w:numId="8">
    <w:abstractNumId w:val="13"/>
  </w:num>
  <w:num w:numId="9">
    <w:abstractNumId w:val="5"/>
  </w:num>
  <w:num w:numId="10">
    <w:abstractNumId w:val="8"/>
  </w:num>
  <w:num w:numId="11">
    <w:abstractNumId w:val="3"/>
  </w:num>
  <w:num w:numId="12">
    <w:abstractNumId w:val="1"/>
  </w:num>
  <w:num w:numId="13">
    <w:abstractNumId w:val="6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647"/>
    <w:rsid w:val="0000397A"/>
    <w:rsid w:val="00015DA5"/>
    <w:rsid w:val="000215B3"/>
    <w:rsid w:val="000243D9"/>
    <w:rsid w:val="00065890"/>
    <w:rsid w:val="000A094E"/>
    <w:rsid w:val="000C14D1"/>
    <w:rsid w:val="000E7504"/>
    <w:rsid w:val="000F52EC"/>
    <w:rsid w:val="00146646"/>
    <w:rsid w:val="00152906"/>
    <w:rsid w:val="001637F5"/>
    <w:rsid w:val="00173CE1"/>
    <w:rsid w:val="00175A31"/>
    <w:rsid w:val="0019242A"/>
    <w:rsid w:val="0019519F"/>
    <w:rsid w:val="00197879"/>
    <w:rsid w:val="001A0BDA"/>
    <w:rsid w:val="001A6963"/>
    <w:rsid w:val="001B3900"/>
    <w:rsid w:val="001B3A77"/>
    <w:rsid w:val="001B3FBB"/>
    <w:rsid w:val="001C634F"/>
    <w:rsid w:val="001E049D"/>
    <w:rsid w:val="002054CD"/>
    <w:rsid w:val="002433BF"/>
    <w:rsid w:val="00273E5B"/>
    <w:rsid w:val="002A75D0"/>
    <w:rsid w:val="002D19CB"/>
    <w:rsid w:val="00301AF2"/>
    <w:rsid w:val="00314F19"/>
    <w:rsid w:val="0034279E"/>
    <w:rsid w:val="00342D0B"/>
    <w:rsid w:val="00345A2C"/>
    <w:rsid w:val="00386DE1"/>
    <w:rsid w:val="00387C4C"/>
    <w:rsid w:val="00392AC5"/>
    <w:rsid w:val="00394586"/>
    <w:rsid w:val="003A460A"/>
    <w:rsid w:val="003A7E36"/>
    <w:rsid w:val="003C0490"/>
    <w:rsid w:val="003C0D6A"/>
    <w:rsid w:val="00407250"/>
    <w:rsid w:val="00426C6C"/>
    <w:rsid w:val="00431B74"/>
    <w:rsid w:val="0044004A"/>
    <w:rsid w:val="0045711B"/>
    <w:rsid w:val="00463E4D"/>
    <w:rsid w:val="004716F9"/>
    <w:rsid w:val="004748A1"/>
    <w:rsid w:val="004817BA"/>
    <w:rsid w:val="004D43E7"/>
    <w:rsid w:val="004E4580"/>
    <w:rsid w:val="004F6955"/>
    <w:rsid w:val="0050298D"/>
    <w:rsid w:val="00542DB1"/>
    <w:rsid w:val="00574DAC"/>
    <w:rsid w:val="00581FDF"/>
    <w:rsid w:val="00594155"/>
    <w:rsid w:val="005E1F5C"/>
    <w:rsid w:val="0060430C"/>
    <w:rsid w:val="00605D9A"/>
    <w:rsid w:val="0063450F"/>
    <w:rsid w:val="0063654C"/>
    <w:rsid w:val="006425DA"/>
    <w:rsid w:val="00643606"/>
    <w:rsid w:val="00655680"/>
    <w:rsid w:val="006769FA"/>
    <w:rsid w:val="00685AEB"/>
    <w:rsid w:val="006928D2"/>
    <w:rsid w:val="006B4627"/>
    <w:rsid w:val="006D7810"/>
    <w:rsid w:val="006F4E72"/>
    <w:rsid w:val="0070539E"/>
    <w:rsid w:val="00712068"/>
    <w:rsid w:val="00727F46"/>
    <w:rsid w:val="00736EA5"/>
    <w:rsid w:val="00770017"/>
    <w:rsid w:val="00771CB1"/>
    <w:rsid w:val="00773C9C"/>
    <w:rsid w:val="00787A63"/>
    <w:rsid w:val="007C516C"/>
    <w:rsid w:val="007C7D4F"/>
    <w:rsid w:val="007D5794"/>
    <w:rsid w:val="007D6733"/>
    <w:rsid w:val="007D6CC4"/>
    <w:rsid w:val="007D759E"/>
    <w:rsid w:val="007E1B65"/>
    <w:rsid w:val="007F229F"/>
    <w:rsid w:val="00807058"/>
    <w:rsid w:val="00811492"/>
    <w:rsid w:val="008223FA"/>
    <w:rsid w:val="008246F9"/>
    <w:rsid w:val="00832F8A"/>
    <w:rsid w:val="008357D3"/>
    <w:rsid w:val="008377B8"/>
    <w:rsid w:val="00852A40"/>
    <w:rsid w:val="00852A5D"/>
    <w:rsid w:val="00864770"/>
    <w:rsid w:val="008736AB"/>
    <w:rsid w:val="00882A59"/>
    <w:rsid w:val="0088436A"/>
    <w:rsid w:val="0088598E"/>
    <w:rsid w:val="008916DE"/>
    <w:rsid w:val="008A4002"/>
    <w:rsid w:val="008F31DE"/>
    <w:rsid w:val="00921336"/>
    <w:rsid w:val="009235D6"/>
    <w:rsid w:val="00936335"/>
    <w:rsid w:val="00963B72"/>
    <w:rsid w:val="00967565"/>
    <w:rsid w:val="00981B3D"/>
    <w:rsid w:val="009B1E06"/>
    <w:rsid w:val="009B4226"/>
    <w:rsid w:val="009C2C5A"/>
    <w:rsid w:val="009D37AB"/>
    <w:rsid w:val="009D7B67"/>
    <w:rsid w:val="00A00F84"/>
    <w:rsid w:val="00A057DF"/>
    <w:rsid w:val="00A06A0B"/>
    <w:rsid w:val="00A10521"/>
    <w:rsid w:val="00A26D43"/>
    <w:rsid w:val="00A4056E"/>
    <w:rsid w:val="00A47F16"/>
    <w:rsid w:val="00A72C93"/>
    <w:rsid w:val="00A72FE2"/>
    <w:rsid w:val="00A73118"/>
    <w:rsid w:val="00A73801"/>
    <w:rsid w:val="00A8604A"/>
    <w:rsid w:val="00AB3AF0"/>
    <w:rsid w:val="00AD1EC3"/>
    <w:rsid w:val="00AD3C54"/>
    <w:rsid w:val="00AE6601"/>
    <w:rsid w:val="00AF0E8F"/>
    <w:rsid w:val="00B0539B"/>
    <w:rsid w:val="00B16F21"/>
    <w:rsid w:val="00B50C4C"/>
    <w:rsid w:val="00B547B1"/>
    <w:rsid w:val="00B5753D"/>
    <w:rsid w:val="00B633BA"/>
    <w:rsid w:val="00BA68AE"/>
    <w:rsid w:val="00BC0A98"/>
    <w:rsid w:val="00BE45BD"/>
    <w:rsid w:val="00C00D24"/>
    <w:rsid w:val="00C0488A"/>
    <w:rsid w:val="00C06183"/>
    <w:rsid w:val="00C1216C"/>
    <w:rsid w:val="00C17647"/>
    <w:rsid w:val="00C37AC8"/>
    <w:rsid w:val="00C47207"/>
    <w:rsid w:val="00C51A5C"/>
    <w:rsid w:val="00C60066"/>
    <w:rsid w:val="00C75858"/>
    <w:rsid w:val="00C9144F"/>
    <w:rsid w:val="00C92AEA"/>
    <w:rsid w:val="00C963AF"/>
    <w:rsid w:val="00CA149A"/>
    <w:rsid w:val="00CA31AF"/>
    <w:rsid w:val="00CA59DF"/>
    <w:rsid w:val="00CC4EDA"/>
    <w:rsid w:val="00CF43F4"/>
    <w:rsid w:val="00D11FB1"/>
    <w:rsid w:val="00D16874"/>
    <w:rsid w:val="00D3108B"/>
    <w:rsid w:val="00D728C0"/>
    <w:rsid w:val="00D87D5C"/>
    <w:rsid w:val="00D9089B"/>
    <w:rsid w:val="00D930DB"/>
    <w:rsid w:val="00DA7AB5"/>
    <w:rsid w:val="00DB1467"/>
    <w:rsid w:val="00DC0933"/>
    <w:rsid w:val="00DD03AF"/>
    <w:rsid w:val="00E20528"/>
    <w:rsid w:val="00E21B92"/>
    <w:rsid w:val="00E26121"/>
    <w:rsid w:val="00E50EB7"/>
    <w:rsid w:val="00E558C4"/>
    <w:rsid w:val="00E57465"/>
    <w:rsid w:val="00E67D92"/>
    <w:rsid w:val="00E74C9C"/>
    <w:rsid w:val="00E87E25"/>
    <w:rsid w:val="00E9348F"/>
    <w:rsid w:val="00E95D2A"/>
    <w:rsid w:val="00EA3729"/>
    <w:rsid w:val="00EB2B7C"/>
    <w:rsid w:val="00EB4337"/>
    <w:rsid w:val="00EC3E4E"/>
    <w:rsid w:val="00EC7094"/>
    <w:rsid w:val="00ED196D"/>
    <w:rsid w:val="00ED7BFD"/>
    <w:rsid w:val="00F01BA5"/>
    <w:rsid w:val="00F021FA"/>
    <w:rsid w:val="00F102E1"/>
    <w:rsid w:val="00F239AB"/>
    <w:rsid w:val="00F43101"/>
    <w:rsid w:val="00F6405F"/>
    <w:rsid w:val="00F807B2"/>
    <w:rsid w:val="00FA3718"/>
    <w:rsid w:val="00FB1BF0"/>
    <w:rsid w:val="00FC7EA1"/>
    <w:rsid w:val="00FE7EB2"/>
    <w:rsid w:val="00FF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DA20E56"/>
  <w15:chartTrackingRefBased/>
  <w15:docId w15:val="{21441B73-C6C6-E546-BA70-C83BBCC9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647"/>
    <w:pPr>
      <w:ind w:left="720"/>
      <w:contextualSpacing/>
    </w:pPr>
  </w:style>
  <w:style w:type="table" w:styleId="TableGrid">
    <w:name w:val="Table Grid"/>
    <w:basedOn w:val="TableNormal"/>
    <w:uiPriority w:val="39"/>
    <w:rsid w:val="00C17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58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890"/>
  </w:style>
  <w:style w:type="paragraph" w:styleId="Footer">
    <w:name w:val="footer"/>
    <w:basedOn w:val="Normal"/>
    <w:link w:val="FooterChar"/>
    <w:uiPriority w:val="99"/>
    <w:unhideWhenUsed/>
    <w:rsid w:val="000658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890"/>
  </w:style>
  <w:style w:type="character" w:styleId="CommentReference">
    <w:name w:val="annotation reference"/>
    <w:basedOn w:val="DefaultParagraphFont"/>
    <w:uiPriority w:val="99"/>
    <w:semiHidden/>
    <w:unhideWhenUsed/>
    <w:rsid w:val="002A75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5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5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5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5D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A75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5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93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2223</Characters>
  <Application>Microsoft Office Word</Application>
  <DocSecurity>0</DocSecurity>
  <Lines>105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Johannes</dc:creator>
  <cp:keywords/>
  <dc:description/>
  <cp:lastModifiedBy>Chapman, Fiona</cp:lastModifiedBy>
  <cp:revision>2</cp:revision>
  <dcterms:created xsi:type="dcterms:W3CDTF">2022-11-30T23:41:00Z</dcterms:created>
  <dcterms:modified xsi:type="dcterms:W3CDTF">2022-11-30T23:41:00Z</dcterms:modified>
</cp:coreProperties>
</file>